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Executive Summary &amp; Strategy Session Overview</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Date of Session:</w:t>
      </w:r>
      <w:r w:rsidDel="00000000" w:rsidR="00000000" w:rsidRPr="00000000">
        <w:rPr>
          <w:rtl w:val="0"/>
        </w:rPr>
        <w:t xml:space="preserve"> June 18, 2026</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Participants:</w:t>
      </w:r>
      <w:r w:rsidDel="00000000" w:rsidR="00000000" w:rsidRPr="00000000">
        <w:rPr>
          <w:rtl w:val="0"/>
        </w:rPr>
        <w:t xml:space="preserve"> Rob Lopez (CEO/Founder), Gabby (HR &amp; Operations Lead), Josh (Client Success &amp; Sales), and Bradley (Strategy Consultant/Architect)</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This document serves as a comprehensive strategic blueprint and operational recap of the in-person strategy session conducted by Rob Lopez and his leadership team. The primary focus of the session was shifting the leadership paradigm from "rainmaking" to business architecture, stabilizing the core business engine, aligning customer expectations, optimizing delivery mechanics, and defining aggressive growth priorities for Q3 and Q4 2026.</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 </w:t>
      </w:r>
    </w:p>
    <w:p w:rsidR="00000000" w:rsidDel="00000000" w:rsidP="00000000" w:rsidRDefault="00000000" w:rsidRPr="00000000" w14:paraId="00000008">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Point A Analysis: Current Business Metrics &amp; Vital Signs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An objective analysis of current state metrics shows massive structural improvements over 2025, alongside clear opportunities to accelerate sales velocity to meet 2026 targets.</w:t>
      </w:r>
    </w:p>
    <w:p w:rsidR="00000000" w:rsidDel="00000000" w:rsidP="00000000" w:rsidRDefault="00000000" w:rsidRPr="00000000" w14:paraId="0000000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Virtual Assistant Inventory &amp; Capacity</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Total VAs on Payroll:</w:t>
      </w:r>
      <w:r w:rsidDel="00000000" w:rsidR="00000000" w:rsidRPr="00000000">
        <w:rPr>
          <w:rtl w:val="0"/>
        </w:rPr>
        <w:t xml:space="preserve"> 77 active virtual assistants currently deployed.</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Bench / Candidate Pipeline:</w:t>
      </w:r>
      <w:r w:rsidDel="00000000" w:rsidR="00000000" w:rsidRPr="00000000">
        <w:rPr>
          <w:rtl w:val="0"/>
        </w:rPr>
        <w:t xml:space="preserve"> 8 fully vetted candidates who have cleared recruiting and training but are currently unpaid and waiting for placement. Of these, 6 are experienced and 2 are inexperienced.</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Skill Level Breakdown:</w:t>
      </w:r>
    </w:p>
    <w:p w:rsidR="00000000" w:rsidDel="00000000" w:rsidP="00000000" w:rsidRDefault="00000000" w:rsidRPr="00000000" w14:paraId="0000000E">
      <w:pPr>
        <w:numPr>
          <w:ilvl w:val="1"/>
          <w:numId w:val="2"/>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Level 1 (Entry/Trained):</w:t>
      </w:r>
      <w:r w:rsidDel="00000000" w:rsidR="00000000" w:rsidRPr="00000000">
        <w:rPr>
          <w:rtl w:val="0"/>
        </w:rPr>
        <w:t xml:space="preserve"> 5 VAs. These individuals completed internal insurance curriculum training but have no outside agency experience.</w:t>
      </w:r>
    </w:p>
    <w:p w:rsidR="00000000" w:rsidDel="00000000" w:rsidP="00000000" w:rsidRDefault="00000000" w:rsidRPr="00000000" w14:paraId="0000000F">
      <w:pPr>
        <w:numPr>
          <w:ilvl w:val="1"/>
          <w:numId w:val="2"/>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Level 2 (Experienced):</w:t>
      </w:r>
      <w:r w:rsidDel="00000000" w:rsidR="00000000" w:rsidRPr="00000000">
        <w:rPr>
          <w:rtl w:val="0"/>
        </w:rPr>
        <w:t xml:space="preserve"> 44 VAs. Defined as having a minimum of 1 year of external insurance experience verified via background checks and testing.</w:t>
      </w:r>
    </w:p>
    <w:p w:rsidR="00000000" w:rsidDel="00000000" w:rsidP="00000000" w:rsidRDefault="00000000" w:rsidRPr="00000000" w14:paraId="00000010">
      <w:pPr>
        <w:numPr>
          <w:ilvl w:val="1"/>
          <w:numId w:val="2"/>
        </w:numPr>
        <w:pBdr>
          <w:top w:space="0" w:sz="0" w:val="nil"/>
          <w:left w:space="0" w:sz="0" w:val="nil"/>
          <w:bottom w:space="0" w:sz="0" w:val="nil"/>
          <w:right w:space="0" w:sz="0" w:val="nil"/>
          <w:between w:space="0" w:sz="0" w:val="nil"/>
        </w:pBdr>
        <w:shd w:fill="auto" w:val="clear"/>
        <w:ind w:left="1200" w:hanging="360"/>
      </w:pPr>
      <w:r w:rsidDel="00000000" w:rsidR="00000000" w:rsidRPr="00000000">
        <w:rPr>
          <w:b w:val="1"/>
          <w:bCs w:val="1"/>
          <w:rtl w:val="0"/>
        </w:rPr>
        <w:t xml:space="preserve">Level 3 (Tenured Experts):</w:t>
      </w:r>
      <w:r w:rsidDel="00000000" w:rsidR="00000000" w:rsidRPr="00000000">
        <w:rPr>
          <w:rtl w:val="0"/>
        </w:rPr>
        <w:t xml:space="preserve"> 29 VAs. Experts with multi-year insurance experience, including at least 1 full year of tenured service specifically within VIVA.</w:t>
      </w:r>
    </w:p>
    <w:p w:rsidR="00000000" w:rsidDel="00000000" w:rsidP="00000000" w:rsidRDefault="00000000" w:rsidRPr="00000000" w14:paraId="00000011">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Client Base &amp; Subscription Analytics</w:t>
      </w:r>
    </w:p>
    <w:p w:rsidR="00000000" w:rsidDel="00000000" w:rsidP="00000000" w:rsidRDefault="00000000" w:rsidRPr="00000000" w14:paraId="00000012">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Active Customers:</w:t>
      </w:r>
      <w:r w:rsidDel="00000000" w:rsidR="00000000" w:rsidRPr="00000000">
        <w:rPr>
          <w:rtl w:val="0"/>
        </w:rPr>
        <w:t xml:space="preserve"> 44 unique agency accounts.</w:t>
      </w:r>
    </w:p>
    <w:p w:rsidR="00000000" w:rsidDel="00000000" w:rsidP="00000000" w:rsidRDefault="00000000" w:rsidRPr="00000000" w14:paraId="00000013">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Total Subscriptions/Contracts:</w:t>
      </w:r>
      <w:r w:rsidDel="00000000" w:rsidR="00000000" w:rsidRPr="00000000">
        <w:rPr>
          <w:rtl w:val="0"/>
        </w:rPr>
        <w:t xml:space="preserve"> 77 active recurring revenue contracts (averaging 1.75 subscriptions per client).</w:t>
      </w:r>
    </w:p>
    <w:p w:rsidR="00000000" w:rsidDel="00000000" w:rsidP="00000000" w:rsidRDefault="00000000" w:rsidRPr="00000000" w14:paraId="0000001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VIP Concentration:</w:t>
      </w:r>
      <w:r w:rsidDel="00000000" w:rsidR="00000000" w:rsidRPr="00000000">
        <w:rPr>
          <w:rtl w:val="0"/>
        </w:rPr>
        <w:t xml:space="preserve"> 14 clients hold 2 or more subscriptions, representing the highest-value, lowest-churn segment of the business. Two flagship clients hold 5 subscriptions each, and one outlier account holds 12.</w:t>
      </w:r>
    </w:p>
    <w:p w:rsidR="00000000" w:rsidDel="00000000" w:rsidP="00000000" w:rsidRDefault="00000000" w:rsidRPr="00000000" w14:paraId="00000015">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Year-to-Date Growth Trajectory vs. 2025 Historical Context</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business has successfully executed a dramatic operational turnaround regarding retention, effectively halting the "panic mode" churn cycles of the previous year.</w:t>
      </w:r>
    </w:p>
    <w:tbl>
      <w:tblPr>
        <w:tblStyle w:val="Table1"/>
        <w:tblW w:w="936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f2f2f2" w:val="clear"/>
            <w:tcMar>
              <w:top w:w="90.0" w:type="dxa"/>
              <w:left w:w="90.0" w:type="dxa"/>
              <w:bottom w:w="90.0" w:type="dxa"/>
              <w:right w:w="9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b w:val="1"/>
                <w:bCs w:val="1"/>
                <w:shd w:fill="auto" w:val="clear"/>
              </w:rPr>
            </w:pPr>
            <w:r w:rsidDel="00000000" w:rsidR="00000000" w:rsidRPr="00000000">
              <w:rPr>
                <w:b w:val="1"/>
                <w:bCs w:val="1"/>
                <w:shd w:fill="auto" w:val="clear"/>
                <w:rtl w:val="0"/>
              </w:rPr>
              <w:t xml:space="preserve">Metric Categories</w:t>
            </w:r>
          </w:p>
        </w:tc>
        <w:tc>
          <w:tcPr>
            <w:shd w:fill="f2f2f2" w:val="clear"/>
            <w:tcMar>
              <w:top w:w="90.0" w:type="dxa"/>
              <w:left w:w="90.0" w:type="dxa"/>
              <w:bottom w:w="90.0" w:type="dxa"/>
              <w:right w:w="9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b w:val="1"/>
                <w:bCs w:val="1"/>
                <w:shd w:fill="auto" w:val="clear"/>
              </w:rPr>
            </w:pPr>
            <w:r w:rsidDel="00000000" w:rsidR="00000000" w:rsidRPr="00000000">
              <w:rPr>
                <w:b w:val="1"/>
                <w:bCs w:val="1"/>
                <w:shd w:fill="auto" w:val="clear"/>
                <w:rtl w:val="0"/>
              </w:rPr>
              <w:t xml:space="preserve">YTD 2025 Performance</w:t>
            </w:r>
          </w:p>
        </w:tc>
        <w:tc>
          <w:tcPr>
            <w:shd w:fill="f2f2f2" w:val="clear"/>
            <w:tcMar>
              <w:top w:w="90.0" w:type="dxa"/>
              <w:left w:w="90.0" w:type="dxa"/>
              <w:bottom w:w="90.0" w:type="dxa"/>
              <w:right w:w="9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b w:val="1"/>
                <w:bCs w:val="1"/>
                <w:shd w:fill="auto" w:val="clear"/>
              </w:rPr>
            </w:pPr>
            <w:r w:rsidDel="00000000" w:rsidR="00000000" w:rsidRPr="00000000">
              <w:rPr>
                <w:b w:val="1"/>
                <w:bCs w:val="1"/>
                <w:shd w:fill="auto" w:val="clear"/>
                <w:rtl w:val="0"/>
              </w:rPr>
              <w:t xml:space="preserve">YTD 2026 Performance</w:t>
            </w:r>
          </w:p>
        </w:tc>
        <w:tc>
          <w:tcPr>
            <w:shd w:fill="f2f2f2" w:val="clear"/>
            <w:tcMar>
              <w:top w:w="90.0" w:type="dxa"/>
              <w:left w:w="90.0" w:type="dxa"/>
              <w:bottom w:w="90.0" w:type="dxa"/>
              <w:right w:w="9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b w:val="1"/>
                <w:bCs w:val="1"/>
                <w:shd w:fill="auto" w:val="clear"/>
              </w:rPr>
            </w:pPr>
            <w:r w:rsidDel="00000000" w:rsidR="00000000" w:rsidRPr="00000000">
              <w:rPr>
                <w:b w:val="1"/>
                <w:bCs w:val="1"/>
                <w:shd w:fill="auto" w:val="clear"/>
                <w:rtl w:val="0"/>
              </w:rPr>
              <w:t xml:space="preserve">Strategic Variance &amp; Context</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tc>
      </w:tr>
      <w:tr>
        <w:trPr>
          <w:cantSplit w:val="0"/>
          <w:tblHeader w:val="0"/>
        </w:trPr>
        <w:tc>
          <w:tcPr>
            <w:shd w:fill="auto" w:val="clear"/>
            <w:tcMar>
              <w:top w:w="90.0" w:type="dxa"/>
              <w:left w:w="90.0" w:type="dxa"/>
              <w:bottom w:w="90.0" w:type="dxa"/>
              <w:right w:w="9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New Subscriptions Sold</w:t>
            </w:r>
          </w:p>
        </w:tc>
        <w:tc>
          <w:tcPr>
            <w:shd w:fill="auto" w:val="clear"/>
            <w:tcMar>
              <w:top w:w="90.0" w:type="dxa"/>
              <w:left w:w="90.0" w:type="dxa"/>
              <w:bottom w:w="90.0" w:type="dxa"/>
              <w:right w:w="9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14 contracts</w:t>
            </w:r>
          </w:p>
        </w:tc>
        <w:tc>
          <w:tcPr>
            <w:shd w:fill="auto" w:val="clear"/>
            <w:tcMar>
              <w:top w:w="90.0" w:type="dxa"/>
              <w:left w:w="90.0" w:type="dxa"/>
              <w:bottom w:w="90.0" w:type="dxa"/>
              <w:right w:w="9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26 contracts</w:t>
            </w:r>
          </w:p>
        </w:tc>
        <w:tc>
          <w:tcPr>
            <w:shd w:fill="auto" w:val="clear"/>
            <w:tcMar>
              <w:top w:w="90.0" w:type="dxa"/>
              <w:left w:w="90.0" w:type="dxa"/>
              <w:bottom w:w="90.0" w:type="dxa"/>
              <w:right w:w="9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Sales volume nearly doubled, including 11 expansion up-sells.</w:t>
            </w:r>
          </w:p>
        </w:tc>
      </w:tr>
      <w:tr>
        <w:trPr>
          <w:cantSplit w:val="0"/>
          <w:tblHeader w:val="0"/>
        </w:trPr>
        <w:tc>
          <w:tcPr>
            <w:shd w:fill="auto" w:val="clear"/>
            <w:tcMar>
              <w:top w:w="90.0" w:type="dxa"/>
              <w:left w:w="90.0" w:type="dxa"/>
              <w:bottom w:w="90.0" w:type="dxa"/>
              <w:right w:w="9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Subscriptions Churned</w:t>
            </w:r>
          </w:p>
        </w:tc>
        <w:tc>
          <w:tcPr>
            <w:shd w:fill="auto" w:val="clear"/>
            <w:tcMar>
              <w:top w:w="90.0" w:type="dxa"/>
              <w:left w:w="90.0" w:type="dxa"/>
              <w:bottom w:w="90.0" w:type="dxa"/>
              <w:right w:w="9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31 contracts lost</w:t>
            </w:r>
          </w:p>
        </w:tc>
        <w:tc>
          <w:tcPr>
            <w:shd w:fill="auto" w:val="clear"/>
            <w:tcMar>
              <w:top w:w="90.0" w:type="dxa"/>
              <w:left w:w="90.0" w:type="dxa"/>
              <w:bottom w:w="90.0" w:type="dxa"/>
              <w:right w:w="9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11 contracts lost</w:t>
            </w:r>
          </w:p>
        </w:tc>
        <w:tc>
          <w:tcPr>
            <w:shd w:fill="auto" w:val="clear"/>
            <w:tcMar>
              <w:top w:w="90.0" w:type="dxa"/>
              <w:left w:w="90.0" w:type="dxa"/>
              <w:bottom w:w="90.0" w:type="dxa"/>
              <w:right w:w="9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Churn reduced by nearly 63%, driven by structural leadership changes.</w:t>
            </w:r>
          </w:p>
        </w:tc>
      </w:tr>
      <w:tr>
        <w:trPr>
          <w:cantSplit w:val="0"/>
          <w:tblHeader w:val="0"/>
        </w:trPr>
        <w:tc>
          <w:tcPr>
            <w:shd w:fill="auto" w:val="clear"/>
            <w:tcMar>
              <w:top w:w="90.0" w:type="dxa"/>
              <w:left w:w="90.0" w:type="dxa"/>
              <w:bottom w:w="90.0" w:type="dxa"/>
              <w:right w:w="9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Net Growth Position</w:t>
            </w:r>
          </w:p>
        </w:tc>
        <w:tc>
          <w:tcPr>
            <w:shd w:fill="auto" w:val="clear"/>
            <w:tcMar>
              <w:top w:w="90.0" w:type="dxa"/>
              <w:left w:w="90.0" w:type="dxa"/>
              <w:bottom w:w="90.0" w:type="dxa"/>
              <w:right w:w="9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-17 net decrease</w:t>
            </w:r>
          </w:p>
        </w:tc>
        <w:tc>
          <w:tcPr>
            <w:shd w:fill="auto" w:val="clear"/>
            <w:tcMar>
              <w:top w:w="90.0" w:type="dxa"/>
              <w:left w:w="90.0" w:type="dxa"/>
              <w:bottom w:w="90.0" w:type="dxa"/>
              <w:right w:w="9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+15 net increase</w:t>
            </w:r>
          </w:p>
        </w:tc>
        <w:tc>
          <w:tcPr>
            <w:shd w:fill="auto" w:val="clear"/>
            <w:tcMar>
              <w:top w:w="90.0" w:type="dxa"/>
              <w:left w:w="90.0" w:type="dxa"/>
              <w:bottom w:w="90.0" w:type="dxa"/>
              <w:right w:w="9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Swing of +32 contracts to positive territory year-over-year.</w:t>
            </w:r>
          </w:p>
        </w:tc>
      </w:tr>
      <w:tr>
        <w:trPr>
          <w:cantSplit w:val="0"/>
          <w:tblHeader w:val="0"/>
        </w:trPr>
        <w:tc>
          <w:tcPr>
            <w:shd w:fill="auto" w:val="clear"/>
            <w:tcMar>
              <w:top w:w="90.0" w:type="dxa"/>
              <w:left w:w="90.0" w:type="dxa"/>
              <w:bottom w:w="90.0" w:type="dxa"/>
              <w:right w:w="9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Performance vs. Target</w:t>
            </w:r>
          </w:p>
        </w:tc>
        <w:tc>
          <w:tcPr>
            <w:shd w:fill="auto" w:val="clear"/>
            <w:tcMar>
              <w:top w:w="90.0" w:type="dxa"/>
              <w:left w:w="90.0" w:type="dxa"/>
              <w:bottom w:w="90.0" w:type="dxa"/>
              <w:right w:w="9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Critical Failure</w:t>
            </w:r>
          </w:p>
        </w:tc>
        <w:tc>
          <w:tcPr>
            <w:shd w:fill="auto" w:val="clear"/>
            <w:tcMar>
              <w:top w:w="90.0" w:type="dxa"/>
              <w:left w:w="90.0" w:type="dxa"/>
              <w:bottom w:w="90.0" w:type="dxa"/>
              <w:right w:w="9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Behind Target by 8</w:t>
            </w:r>
          </w:p>
        </w:tc>
        <w:tc>
          <w:tcPr>
            <w:shd w:fill="auto" w:val="clear"/>
            <w:tcMar>
              <w:top w:w="90.0" w:type="dxa"/>
              <w:left w:w="90.0" w:type="dxa"/>
              <w:bottom w:w="90.0" w:type="dxa"/>
              <w:right w:w="9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Target was +4 net/month (+24 YTD). Currently pacing at +16 net.</w:t>
            </w:r>
          </w:p>
        </w:tc>
      </w:tr>
    </w:tbl>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 </w:t>
      </w:r>
    </w:p>
    <w:p w:rsidR="00000000" w:rsidDel="00000000" w:rsidP="00000000" w:rsidRDefault="00000000" w:rsidRPr="00000000" w14:paraId="0000002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 Ideal Customer Avatar (ICA) </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To eliminate client volatility and ensure alignment, the team established a clear demographic and operational threshold separating high-value ideal partners from volatile, high-friction accounts.</w:t>
      </w:r>
    </w:p>
    <w:p w:rsidR="00000000" w:rsidDel="00000000" w:rsidP="00000000" w:rsidRDefault="00000000" w:rsidRPr="00000000" w14:paraId="0000002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Best Clients (Target Profile)</w:t>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Revenue Threshold:</w:t>
      </w:r>
      <w:r w:rsidDel="00000000" w:rsidR="00000000" w:rsidRPr="00000000">
        <w:rPr>
          <w:rtl w:val="0"/>
        </w:rPr>
        <w:t xml:space="preserve"> Minimum of $1 Million in annual revenue ($80,000+ monthly gross). Agencies at this level do not treat a $2,400 monthly line-item as an emotional or high-stress budget strain.</w:t>
      </w:r>
    </w:p>
    <w:p w:rsidR="00000000" w:rsidDel="00000000" w:rsidP="00000000" w:rsidRDefault="00000000" w:rsidRPr="00000000" w14:paraId="00000031">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Organizational Maturity:</w:t>
      </w:r>
      <w:r w:rsidDel="00000000" w:rsidR="00000000" w:rsidRPr="00000000">
        <w:rPr>
          <w:rtl w:val="0"/>
        </w:rPr>
        <w:t xml:space="preserve"> Multi-tier staff structures (5 to 7 full-time employees plus the owner). These organizations have departmentalized workflows, splitting sales and service functions cleanly.</w:t>
      </w:r>
    </w:p>
    <w:p w:rsidR="00000000" w:rsidDel="00000000" w:rsidP="00000000" w:rsidRDefault="00000000" w:rsidRPr="00000000" w14:paraId="00000032">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Infrastructure for Support:</w:t>
      </w:r>
      <w:r w:rsidDel="00000000" w:rsidR="00000000" w:rsidRPr="00000000">
        <w:rPr>
          <w:rtl w:val="0"/>
        </w:rPr>
        <w:t xml:space="preserve"> Deploys a dedicated Point of Contact (POC) or General Manager who actively trains, shadows, manages, and supports the VA's transition rather than leaving them to figure it out alone.</w:t>
      </w:r>
    </w:p>
    <w:p w:rsidR="00000000" w:rsidDel="00000000" w:rsidP="00000000" w:rsidRDefault="00000000" w:rsidRPr="00000000" w14:paraId="00000033">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Technical Stack Compatibility:</w:t>
      </w:r>
      <w:r w:rsidDel="00000000" w:rsidR="00000000" w:rsidRPr="00000000">
        <w:rPr>
          <w:rtl w:val="0"/>
        </w:rPr>
        <w:t xml:space="preserve"> Operates natively on preferred Management Systems (EZLynx, HawkSoft, AMS360, Applied Epic, or Momentum).</w:t>
      </w:r>
    </w:p>
    <w:p w:rsidR="00000000" w:rsidDel="00000000" w:rsidP="00000000" w:rsidRDefault="00000000" w:rsidRPr="00000000" w14:paraId="00000034">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Book Profile:</w:t>
      </w:r>
      <w:r w:rsidDel="00000000" w:rsidR="00000000" w:rsidRPr="00000000">
        <w:rPr>
          <w:rtl w:val="0"/>
        </w:rPr>
        <w:t xml:space="preserve"> Traditional Property &amp; Casualty (P&amp;C) home and auto lines.</w:t>
      </w:r>
    </w:p>
    <w:p w:rsidR="00000000" w:rsidDel="00000000" w:rsidP="00000000" w:rsidRDefault="00000000" w:rsidRPr="00000000" w14:paraId="00000035">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Geographic &amp; Cultural Alignment:</w:t>
      </w:r>
      <w:r w:rsidDel="00000000" w:rsidR="00000000" w:rsidRPr="00000000">
        <w:rPr>
          <w:rtl w:val="0"/>
        </w:rPr>
        <w:t xml:space="preserve"> Geographically accessible for personal travel, trade-show meetups, or client dinners (e.g., Texas and Latin-focused operators). High-loyalty accounts view their nearshore VAs as "family" and send branded agency merchandise.</w:t>
      </w:r>
    </w:p>
    <w:p w:rsidR="00000000" w:rsidDel="00000000" w:rsidP="00000000" w:rsidRDefault="00000000" w:rsidRPr="00000000" w14:paraId="00000036">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Worst Clients (High-Volatility / Exclusionary Profile)</w:t>
      </w:r>
    </w:p>
    <w:p w:rsidR="00000000" w:rsidDel="00000000" w:rsidP="00000000" w:rsidRDefault="00000000" w:rsidRPr="00000000" w14:paraId="00000037">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Revenue Volatility:</w:t>
      </w:r>
      <w:r w:rsidDel="00000000" w:rsidR="00000000" w:rsidRPr="00000000">
        <w:rPr>
          <w:rtl w:val="0"/>
        </w:rPr>
        <w:t xml:space="preserve"> Under $300k in annual revenue. Small "Mom and Pop" or solo operators run highly volatile businesses. This volatility transfers directly to VIVA through emotional, erratic management, or sudden cancellations.</w:t>
      </w:r>
    </w:p>
    <w:p w:rsidR="00000000" w:rsidDel="00000000" w:rsidP="00000000" w:rsidRDefault="00000000" w:rsidRPr="00000000" w14:paraId="00000038">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"Easy Button" Expectation:</w:t>
      </w:r>
      <w:r w:rsidDel="00000000" w:rsidR="00000000" w:rsidRPr="00000000">
        <w:rPr>
          <w:rtl w:val="0"/>
        </w:rPr>
        <w:t xml:space="preserve"> Clients who view a remote VA as an immediate, autonomous AI plugin (like ChatGPT or Claude) requiring zero training or baseline onboarding.</w:t>
      </w:r>
    </w:p>
    <w:p w:rsidR="00000000" w:rsidDel="00000000" w:rsidP="00000000" w:rsidRDefault="00000000" w:rsidRPr="00000000" w14:paraId="00000039">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Heavy Commercial/Trucking Concentration:</w:t>
      </w:r>
      <w:r w:rsidDel="00000000" w:rsidR="00000000" w:rsidRPr="00000000">
        <w:rPr>
          <w:rtl w:val="0"/>
        </w:rPr>
        <w:t xml:space="preserve"> Commercial lines are highly complex and time-sensitive. Agencies with large commercial lines often lack internal training infrastructure, leading to instant dissatisfaction if a VA faces a steep learning curve.</w:t>
      </w:r>
    </w:p>
    <w:p w:rsidR="00000000" w:rsidDel="00000000" w:rsidP="00000000" w:rsidRDefault="00000000" w:rsidRPr="00000000" w14:paraId="0000003A">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Management Vacuum:</w:t>
      </w:r>
      <w:r w:rsidDel="00000000" w:rsidR="00000000" w:rsidRPr="00000000">
        <w:rPr>
          <w:rtl w:val="0"/>
        </w:rPr>
        <w:t xml:space="preserve"> VAs reporting directly to a stressed, overworked CEO with no buffer or intermediate supervisor. Communication gaps manifest as complete radio silence ("crickets") until a abrupt cancellation email arrives.</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 </w:t>
      </w:r>
    </w:p>
    <w:p w:rsidR="00000000" w:rsidDel="00000000" w:rsidP="00000000" w:rsidRDefault="00000000" w:rsidRPr="00000000" w14:paraId="0000003C">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 Delivery, Fulfillment, &amp; Operational Safeguards</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VIVA's significant reduction in churn is attributed directly to sophisticated backend quality controls implemented over the last quarter by Gabby and Ashley. Moving forward, these internal safeguards will be transformed into high-value sales assets.</w:t>
      </w:r>
    </w:p>
    <w:p w:rsidR="00000000" w:rsidDel="00000000" w:rsidP="00000000" w:rsidRDefault="00000000" w:rsidRPr="00000000" w14:paraId="0000003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Customer Journey: From "Yes" to Launch</w:t>
      </w:r>
    </w:p>
    <w:p w:rsidR="00000000" w:rsidDel="00000000" w:rsidP="00000000" w:rsidRDefault="00000000" w:rsidRPr="00000000" w14:paraId="0000003F">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Choice Paradox &amp; Psychological Leverage:</w:t>
      </w:r>
      <w:r w:rsidDel="00000000" w:rsidR="00000000" w:rsidRPr="00000000">
        <w:rPr>
          <w:rtl w:val="0"/>
        </w:rPr>
        <w:t xml:space="preserve"> VIVA presents 2 to 3 candidate options accompanied by comprehensive video-enabled "Buyer Cards" highlighting specific carrier experiences and system competencies. Giving the client final selection rights creates psychological ownership and accountability to make the relationship work. Contracts restrict clients from requesting a replacement within the first 30 days to prevent premature terminations.</w:t>
      </w:r>
    </w:p>
    <w:p w:rsidR="00000000" w:rsidDel="00000000" w:rsidP="00000000" w:rsidRDefault="00000000" w:rsidRPr="00000000" w14:paraId="00000040">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Rigid Hold Guidelines:</w:t>
      </w:r>
      <w:r w:rsidDel="00000000" w:rsidR="00000000" w:rsidRPr="00000000">
        <w:rPr>
          <w:rtl w:val="0"/>
        </w:rPr>
        <w:t xml:space="preserve"> To prevent inventory deadlocks where clients "drag their feet," VIVA enforces a strict 48-business-hour maximum hold rule. If a client fails to sign or finalize within 48 hours, candidates are released back to the general availability pool. Operational escalations (clients facing potential contract breaches or immediate turnover risks) always command absolute hold priority.</w:t>
      </w:r>
    </w:p>
    <w:p w:rsidR="00000000" w:rsidDel="00000000" w:rsidP="00000000" w:rsidRDefault="00000000" w:rsidRPr="00000000" w14:paraId="00000041">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Comprehensive VA Preparation Sheets:</w:t>
      </w:r>
      <w:r w:rsidDel="00000000" w:rsidR="00000000" w:rsidRPr="00000000">
        <w:rPr>
          <w:rtl w:val="0"/>
        </w:rPr>
        <w:t xml:space="preserve"> Candidates undergo a 3-month-old "Know Your Client" prep routine utilizing transcripts compiled via automated tools (Fireflies.ai). Talent coordinators train VAs on the specific agency profile, defining top priorities (e.g., full-cycle renewal cross-selling vs. cold lead follow-up), scripting 60-to-90-second opening introductions, and prepping them on potential interview gap questions.</w:t>
      </w:r>
    </w:p>
    <w:p w:rsidR="00000000" w:rsidDel="00000000" w:rsidP="00000000" w:rsidRDefault="00000000" w:rsidRPr="00000000" w14:paraId="00000042">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Internal Quality Control Systems</w:t>
      </w:r>
    </w:p>
    <w:p w:rsidR="00000000" w:rsidDel="00000000" w:rsidP="00000000" w:rsidRDefault="00000000" w:rsidRPr="00000000" w14:paraId="00000043">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Universal Auditing Cadence:</w:t>
      </w:r>
      <w:r w:rsidDel="00000000" w:rsidR="00000000" w:rsidRPr="00000000">
        <w:rPr>
          <w:rtl w:val="0"/>
        </w:rPr>
        <w:t xml:space="preserve"> Every single virtual assistant on payroll undergoes a mandatory Quality Audit (QA) once a month.</w:t>
      </w:r>
    </w:p>
    <w:p w:rsidR="00000000" w:rsidDel="00000000" w:rsidP="00000000" w:rsidRDefault="00000000" w:rsidRPr="00000000" w14:paraId="00000044">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Hyper-Care Window:</w:t>
      </w:r>
      <w:r w:rsidDel="00000000" w:rsidR="00000000" w:rsidRPr="00000000">
        <w:rPr>
          <w:rtl w:val="0"/>
        </w:rPr>
        <w:t xml:space="preserve"> Newly placed VAs within their first 60 days of deployment are audited aggressively once a week.</w:t>
      </w:r>
    </w:p>
    <w:p w:rsidR="00000000" w:rsidDel="00000000" w:rsidP="00000000" w:rsidRDefault="00000000" w:rsidRPr="00000000" w14:paraId="00000045">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Granular Evaluation Categories:</w:t>
      </w:r>
      <w:r w:rsidDel="00000000" w:rsidR="00000000" w:rsidRPr="00000000">
        <w:rPr>
          <w:rtl w:val="0"/>
        </w:rPr>
        <w:t xml:space="preserve"> Audits rate performance out of 90%+ based on communication etiquette, task responsiveness, process playbook adherence, and client KPI alignment. Auditors document precise examples detailing what went well, what could improve, and exact instructional paths for corrections.</w:t>
      </w:r>
    </w:p>
    <w:p w:rsidR="00000000" w:rsidDel="00000000" w:rsidP="00000000" w:rsidRDefault="00000000" w:rsidRPr="00000000" w14:paraId="00000046">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CSAT Red Flag Interventions:</w:t>
      </w:r>
      <w:r w:rsidDel="00000000" w:rsidR="00000000" w:rsidRPr="00000000">
        <w:rPr>
          <w:rtl w:val="0"/>
        </w:rPr>
        <w:t xml:space="preserve"> Client Satisfaction (CSAT) scores are tracked monthly. Scoring shifts from "Meets Expectations" down to "Moderately Satisfied" triggers immediate automated backend auditing to preemptively resolve friction points before a client requests an off-boarding or replacement.</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 </w:t>
      </w:r>
    </w:p>
    <w:p w:rsidR="00000000" w:rsidDel="00000000" w:rsidP="00000000" w:rsidRDefault="00000000" w:rsidRPr="00000000" w14:paraId="00000048">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 Offer Optimization &amp; Future Product Architecture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team strategized on packaging variations of the core offer to capture cash up front, up-market scaling dynamics, and defensive software layering.</w:t>
      </w:r>
    </w:p>
    <w:p w:rsidR="00000000" w:rsidDel="00000000" w:rsidP="00000000" w:rsidRDefault="00000000" w:rsidRPr="00000000" w14:paraId="0000004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Tiered Pricing &amp; Pre-Pay Offer Structure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incentivize commitment and secure predictable marketing cash flow to fuel acquisition, VIVA will adapt its presentation structure toward standard software-as-a-service (SaaS) anchors:</w:t>
      </w:r>
    </w:p>
    <w:p w:rsidR="00000000" w:rsidDel="00000000" w:rsidP="00000000" w:rsidRDefault="00000000" w:rsidRPr="00000000" w14:paraId="0000004C">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Tier 1: Month-to-Month Contract:</w:t>
      </w:r>
      <w:r w:rsidDel="00000000" w:rsidR="00000000" w:rsidRPr="00000000">
        <w:rPr>
          <w:rtl w:val="0"/>
        </w:rPr>
        <w:t xml:space="preserve"> Priced at a premium rate of $2,800 per month. Offers maximum client flexibility but carries high administrative overhead.</w:t>
      </w:r>
    </w:p>
    <w:p w:rsidR="00000000" w:rsidDel="00000000" w:rsidP="00000000" w:rsidRDefault="00000000" w:rsidRPr="00000000" w14:paraId="0000004D">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Tier 2: Monthly Billing with Annual Commitment:</w:t>
      </w:r>
      <w:r w:rsidDel="00000000" w:rsidR="00000000" w:rsidRPr="00000000">
        <w:rPr>
          <w:rtl w:val="0"/>
        </w:rPr>
        <w:t xml:space="preserve"> Priced at the standard baseline of $2,400 per month. Contracts include buyout mechanisms requiring clients who cancel early to retroactively reimburse the monthly discount gap.</w:t>
      </w:r>
    </w:p>
    <w:p w:rsidR="00000000" w:rsidDel="00000000" w:rsidP="00000000" w:rsidRDefault="00000000" w:rsidRPr="00000000" w14:paraId="0000004E">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Tier 3: Prepaid Quarterly Structure:</w:t>
      </w:r>
      <w:r w:rsidDel="00000000" w:rsidR="00000000" w:rsidRPr="00000000">
        <w:rPr>
          <w:rtl w:val="0"/>
        </w:rPr>
        <w:t xml:space="preserve"> Priced at an incentivized rate of $2,200 per month ($6,600 collected upfront every 90 days). Automatically auto-renews unless a 30-day non-renewal notice is submitted. The front-loaded cash injection is immediately funneled back into aggressive lead-generation channels.</w:t>
      </w:r>
    </w:p>
    <w:p w:rsidR="00000000" w:rsidDel="00000000" w:rsidP="00000000" w:rsidRDefault="00000000" w:rsidRPr="00000000" w14:paraId="0000004F">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Future Expansion Concepts: VIVA Teams &amp; AI Layers</w:t>
      </w:r>
    </w:p>
    <w:p w:rsidR="00000000" w:rsidDel="00000000" w:rsidP="00000000" w:rsidRDefault="00000000" w:rsidRPr="00000000" w14:paraId="00000050">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VIVA Scale Teams (Up-Market Focus):</w:t>
      </w:r>
      <w:r w:rsidDel="00000000" w:rsidR="00000000" w:rsidRPr="00000000">
        <w:rPr>
          <w:rtl w:val="0"/>
        </w:rPr>
        <w:t xml:space="preserve"> Deploying specialized, premium-priced units of 2 or more Level 2/3 snipers (Quoting Teams, Servicing Teams, or Retention Teams). The key value proposition is business continuity protection; if one team member leaves or takes maternity leave, the agency's workflow never grinds to a halt because a secondary specialized asset maintains operational momentum and handles peer back-filling. Targets are set to launch, test, and deploy 4 to 5 premium scale teams by late Q3.</w:t>
      </w:r>
    </w:p>
    <w:p w:rsidR="00000000" w:rsidDel="00000000" w:rsidP="00000000" w:rsidRDefault="00000000" w:rsidRPr="00000000" w14:paraId="00000051">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AI Overflow Receptionist Layer:</w:t>
      </w:r>
      <w:r w:rsidDel="00000000" w:rsidR="00000000" w:rsidRPr="00000000">
        <w:rPr>
          <w:rtl w:val="0"/>
        </w:rPr>
        <w:t xml:space="preserve"> Layering HighLevel-powered conversational or telephony AI agents onto existing agency ecosystems. Acting purely as a defensive overflow tool, the bot catches incoming traffic on the 4th or 5th ring or handles after-hours (6 PM to 9 AM) queries. The AI logs records, distinguishes sales from service intents, and routes data overnight. Costing VIVA under $100/mo to execute, it represents a high-margin expansion upsell priced at $400/mo for existing clients and $595/mo for raw acquisitions.</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 </w:t>
      </w:r>
    </w:p>
    <w:p w:rsidR="00000000" w:rsidDel="00000000" w:rsidP="00000000" w:rsidRDefault="00000000" w:rsidRPr="00000000" w14:paraId="0000005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5. Critical Target Pathways &amp; Q3 Priorities</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To finish 2026 successfully at the net target of +48 subscriptions, the organization must bridge the current pacing gap (+16 YTD) by engineering a net increase of 32 subscriptions over the remaining two quarters.</w:t>
      </w:r>
    </w:p>
    <w:p w:rsidR="00000000" w:rsidDel="00000000" w:rsidP="00000000" w:rsidRDefault="00000000" w:rsidRPr="00000000" w14:paraId="0000005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Critical Number Target Assumptions</w:t>
      </w:r>
    </w:p>
    <w:p w:rsidR="00000000" w:rsidDel="00000000" w:rsidP="00000000" w:rsidRDefault="00000000" w:rsidRPr="00000000" w14:paraId="00000056">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Anticipated Second-Half Churn: -10 subscriptions (estimated at roughly 1.6 losses per month).</w:t>
      </w:r>
    </w:p>
    <w:p w:rsidR="00000000" w:rsidDel="00000000" w:rsidP="00000000" w:rsidRDefault="00000000" w:rsidRPr="00000000" w14:paraId="00000057">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Gross Acquisitions Required: VIVA must close 42 raw new subscriptions across the second half of the year, translating to a consistent sales velocity of 7 new contracts closed per month.</w:t>
      </w:r>
    </w:p>
    <w:p w:rsidR="00000000" w:rsidDel="00000000" w:rsidP="00000000" w:rsidRDefault="00000000" w:rsidRPr="00000000" w14:paraId="00000058">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Q3 Specific Target:</w:t>
      </w:r>
      <w:r w:rsidDel="00000000" w:rsidR="00000000" w:rsidRPr="00000000">
        <w:rPr>
          <w:rtl w:val="0"/>
        </w:rPr>
        <w:t xml:space="preserve"> Gross execution of 21 new subscription sales between July 1 and September 30.</w:t>
      </w:r>
    </w:p>
    <w:p w:rsidR="00000000" w:rsidDel="00000000" w:rsidP="00000000" w:rsidRDefault="00000000" w:rsidRPr="00000000" w14:paraId="00000059">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Q3 Priorities Blueprint</w:t>
      </w:r>
    </w:p>
    <w:p w:rsidR="00000000" w:rsidDel="00000000" w:rsidP="00000000" w:rsidRDefault="00000000" w:rsidRPr="00000000" w14:paraId="0000005A">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Deploy Executive Sales Support for Rob:</w:t>
      </w:r>
      <w:r w:rsidDel="00000000" w:rsidR="00000000" w:rsidRPr="00000000">
        <w:rPr>
          <w:rtl w:val="0"/>
        </w:rPr>
        <w:t xml:space="preserve"> Transition a fractional or dedicated assistant into a rigorous appointment-setting and administrative buffer role. This individual will handle pre-call confirmations, log post-call Fireflies transcripts, distribute recap summaries, and execute prompt follow-up sequences, freeing the CEO to operate purely as a closer.</w:t>
      </w:r>
    </w:p>
    <w:p w:rsidR="00000000" w:rsidDel="00000000" w:rsidP="00000000" w:rsidRDefault="00000000" w:rsidRPr="00000000" w14:paraId="0000005B">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Establish Predictable, Multi-Channel Lead Generation:</w:t>
      </w:r>
      <w:r w:rsidDel="00000000" w:rsidR="00000000" w:rsidRPr="00000000">
        <w:rPr>
          <w:rtl w:val="0"/>
        </w:rPr>
        <w:t xml:space="preserve"> Rectify inconsistent lead metrics by aggressively scaling and monitoring meta and outbound ad spending, moving away from low-tier, price-driven ad hooks toward demographic-targeted positioning ($1M+ revenue agency callouts).</w:t>
      </w:r>
    </w:p>
    <w:p w:rsidR="00000000" w:rsidDel="00000000" w:rsidP="00000000" w:rsidRDefault="00000000" w:rsidRPr="00000000" w14:paraId="0000005C">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Re-Engage Non-Responsive Accounts:</w:t>
      </w:r>
      <w:r w:rsidDel="00000000" w:rsidR="00000000" w:rsidRPr="00000000">
        <w:rPr>
          <w:rtl w:val="0"/>
        </w:rPr>
        <w:t xml:space="preserve"> Implement structured outreach routines led by client success to pierce through silent accounts and minimize unexpected trailing churn.</w:t>
      </w:r>
    </w:p>
    <w:p w:rsidR="00000000" w:rsidDel="00000000" w:rsidP="00000000" w:rsidRDefault="00000000" w:rsidRPr="00000000" w14:paraId="0000005D">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Reface Core Marketing &amp; Sales Collateral:</w:t>
      </w:r>
      <w:r w:rsidDel="00000000" w:rsidR="00000000" w:rsidRPr="00000000">
        <w:rPr>
          <w:rtl w:val="0"/>
        </w:rPr>
        <w:t xml:space="preserve"> Redesign the standard proposal PDFs, booth backdrops, and PowerPoint decks to showcase internal QA workflows, CSAT data, and 3% hiring exclusivity statistics as heavy premium differentiators.</w:t>
      </w:r>
    </w:p>
    <w:p w:rsidR="00000000" w:rsidDel="00000000" w:rsidP="00000000" w:rsidRDefault="00000000" w:rsidRPr="00000000" w14:paraId="0000005E">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Launch Current Client Nurture Campaigns:</w:t>
      </w:r>
      <w:r w:rsidDel="00000000" w:rsidR="00000000" w:rsidRPr="00000000">
        <w:rPr>
          <w:rtl w:val="0"/>
        </w:rPr>
        <w:t xml:space="preserve"> Reintroduce a structured monthly client newsletter by the third week of each month, packaging efficiency tactics with real-time inventories of premium licensed or dual-citizen VAs available on the bench to prompt natural ascension up-sells.</w:t>
      </w:r>
    </w:p>
    <w:sectPr>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